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Topperfo Panels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w:t>
      </w:r>
      <w:r w:rsidRPr="00000000" w:rsidR="00000000" w:rsidDel="00000000">
        <w:rPr>
          <w:rtl w:val="0"/>
        </w:rPr>
        <w:t xml:space="preserve">perforation </w:t>
      </w:r>
      <w:r w:rsidRPr="00000000" w:rsidR="00000000" w:rsidDel="00000000">
        <w:rPr>
          <w:rFonts w:cs="Calibri" w:hAnsi="Calibri" w:eastAsia="Calibri" w:ascii="Calibri"/>
          <w:b w:val="0"/>
          <w:sz w:val="22"/>
          <w:rtl w:val="0"/>
        </w:rPr>
        <w:t xml:space="preserve">on face and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Wall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Dual method sound absorption through tuned resonant absorption and viscous losses in sub-millimeter perforations. Absorption through viscous losses is only possible with the perforation diameter is comparable to the boundary layer of air, which is roughly 0.5 mm. Microperforation will thus be defined as 0.5 mm holes in a 1 mm veneer layer that is adhered to a MDF substrate that is maximally perforated.</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ind w:left="1080" w:hanging="359"/>
        <w:contextualSpacing w:val="1"/>
        <w:rPr/>
      </w:pPr>
      <w:r w:rsidRPr="00000000" w:rsidR="00000000" w:rsidDel="00000000">
        <w:rPr>
          <w:rtl w:val="0"/>
        </w:rPr>
        <w:t xml:space="preserve">Material must meet performance data as indicated below and measured according to ASTM C423 or ISO 354. Random incidence absorption data in third-octave bands for Topperfo Micro patterns are as follows:</w:t>
      </w:r>
      <w:r w:rsidRPr="00000000" w:rsidR="00000000" w:rsidDel="00000000">
        <w:rPr>
          <w:rFonts w:cs="Calibri" w:hAnsi="Calibri" w:eastAsia="Calibri" w:ascii="Calibri"/>
          <w:b w:val="0"/>
          <w:sz w:val="22"/>
          <w:rtl w:val="0"/>
        </w:rPr>
        <w:br w:type="textWrapping"/>
      </w:r>
      <w:r w:rsidRPr="00000000" w:rsidR="00000000" w:rsidDel="00000000">
        <w:rPr>
          <w:rtl w:val="0"/>
        </w:rPr>
      </w:r>
    </w:p>
    <w:tbl>
      <w:tblPr>
        <w:tblStyle w:val="Table1"/>
        <w:bidiVisual w:val="0"/>
        <w:tblW w:w="7560.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470"/>
        <w:gridCol w:w="1395"/>
        <w:gridCol w:w="630"/>
        <w:gridCol w:w="630"/>
        <w:gridCol w:w="630"/>
        <w:gridCol w:w="720"/>
        <w:gridCol w:w="720"/>
        <w:gridCol w:w="720"/>
        <w:gridCol w:w="645"/>
        <w:tblGridChange w:id="0">
          <w:tblGrid>
            <w:gridCol w:w="1470"/>
            <w:gridCol w:w="1395"/>
            <w:gridCol w:w="630"/>
            <w:gridCol w:w="630"/>
            <w:gridCol w:w="630"/>
            <w:gridCol w:w="720"/>
            <w:gridCol w:w="720"/>
            <w:gridCol w:w="720"/>
            <w:gridCol w:w="645"/>
          </w:tblGrid>
        </w:tblGridChange>
      </w:tblGrid>
      <w:tr>
        <w:trPr>
          <w:trHeight w:val="280" w:hRule="atLeast"/>
        </w:trPr>
        <w:tc>
          <w:tcPr>
            <w:gridSpan w:val="2"/>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Micro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ind w:right="-254"/>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bl>
    <w:p w:rsidP="00000000" w:rsidRPr="00000000" w:rsidR="00000000" w:rsidDel="00000000" w:rsidRDefault="00000000">
      <w:pPr>
        <w:contextualSpacing w:val="0"/>
        <w:rPr>
          <w:rFonts w:cs="Arial" w:hAnsi="Arial" w:eastAsia="Arial" w:ascii="Arial"/>
        </w:rPr>
      </w:pPr>
      <w:r w:rsidRPr="00000000" w:rsidR="00000000" w:rsidDel="00000000">
        <w:rPr>
          <w:rtl w:val="0"/>
        </w:rPr>
      </w:r>
    </w:p>
    <w:tbl>
      <w:tblPr>
        <w:tblStyle w:val="Table2"/>
        <w:bidiVisual w:val="0"/>
        <w:tblW w:w="7560.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485"/>
        <w:gridCol w:w="1380"/>
        <w:gridCol w:w="645"/>
        <w:gridCol w:w="630"/>
        <w:gridCol w:w="630"/>
        <w:gridCol w:w="735"/>
        <w:gridCol w:w="705"/>
        <w:gridCol w:w="705"/>
        <w:gridCol w:w="645"/>
        <w:tblGridChange w:id="0">
          <w:tblGrid>
            <w:gridCol w:w="1485"/>
            <w:gridCol w:w="1380"/>
            <w:gridCol w:w="645"/>
            <w:gridCol w:w="630"/>
            <w:gridCol w:w="630"/>
            <w:gridCol w:w="735"/>
            <w:gridCol w:w="705"/>
            <w:gridCol w:w="705"/>
            <w:gridCol w:w="645"/>
          </w:tblGrid>
        </w:tblGridChange>
      </w:tblGrid>
      <w:tr>
        <w:trPr>
          <w:trHeight w:val="280" w:hRule="atLeast"/>
        </w:trPr>
        <w:tc>
          <w:tcPr>
            <w:gridSpan w:val="2"/>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Micro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bl>
    <w:p w:rsidP="00000000" w:rsidRPr="00000000" w:rsidR="00000000" w:rsidDel="00000000" w:rsidRDefault="00000000">
      <w:pPr>
        <w:ind w:left="432" w:firstLine="0"/>
        <w:contextualSpacing w:val="0"/>
        <w:rPr>
          <w:rFonts w:cs="Arial" w:hAnsi="Arial" w:eastAsia="Arial" w:ascii="Arial"/>
        </w:rPr>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ind w:left="1080" w:hanging="359"/>
        <w:contextualSpacing w:val="1"/>
        <w:rPr/>
      </w:pPr>
      <w:r w:rsidRPr="00000000" w:rsidR="00000000" w:rsidDel="00000000">
        <w:rPr>
          <w:rtl w:val="0"/>
        </w:rPr>
        <w:t xml:space="preserve">Manufacturing Process</w:t>
      </w:r>
    </w:p>
    <w:p w:rsidP="00000000" w:rsidRPr="00000000" w:rsidR="00000000" w:rsidDel="00000000" w:rsidRDefault="00000000">
      <w:pPr>
        <w:numPr>
          <w:ilvl w:val="3"/>
          <w:numId w:val="3"/>
        </w:numPr>
        <w:ind w:left="1296" w:hanging="215"/>
        <w:contextualSpacing w:val="1"/>
        <w:rPr/>
      </w:pPr>
      <w:r w:rsidRPr="00000000" w:rsidR="00000000" w:rsidDel="00000000">
        <w:rPr>
          <w:rtl w:val="0"/>
        </w:rPr>
        <w:t xml:space="preserve">Product shall be manufactured in a very specific process so as to leave the microperforated holes open and clear to allow sound to pass through and for the product to perform as designed.</w:t>
      </w:r>
    </w:p>
    <w:p w:rsidP="00000000" w:rsidRPr="00000000" w:rsidR="00000000" w:rsidDel="00000000" w:rsidRDefault="00000000">
      <w:pPr>
        <w:numPr>
          <w:ilvl w:val="3"/>
          <w:numId w:val="3"/>
        </w:numPr>
        <w:ind w:left="1296" w:hanging="215"/>
        <w:contextualSpacing w:val="1"/>
        <w:rPr/>
      </w:pPr>
      <w:r w:rsidRPr="00000000" w:rsidR="00000000" w:rsidDel="00000000">
        <w:rPr>
          <w:rtl w:val="0"/>
        </w:rPr>
        <w:t xml:space="preserve">This process shall have a very specific order of manufacturing and assembly.</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MDF Core will be perforated according to specifications for the product</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Face layer (veneer or high-pressure laminate as specified in Section 2) shall be pressed to MDF core</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All finishing, edge work, joinery work, or any other modifications to panels are to be completed</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The final layer must, in all circumstances, be the microperforation of the veneer</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w:t>
      </w:r>
      <w:r w:rsidRPr="00000000" w:rsidR="00000000" w:rsidDel="00000000">
        <w:rPr>
          <w:rtl w:val="0"/>
        </w:rPr>
        <w:t xml:space="preserve">at least 6” x 6” in size.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w:t>
      </w:r>
      <w:r w:rsidRPr="00000000" w:rsidR="00000000" w:rsidDel="00000000">
        <w:rPr>
          <w:rtl w:val="0"/>
        </w:rPr>
        <w:t xml:space="preserve">dentification,</w:t>
      </w:r>
      <w:r w:rsidRPr="00000000" w:rsidR="00000000" w:rsidDel="00000000">
        <w:rPr>
          <w:rFonts w:cs="Calibri" w:hAnsi="Calibri" w:eastAsia="Calibri" w:ascii="Calibri"/>
          <w:b w:val="0"/>
          <w:sz w:val="22"/>
          <w:rtl w:val="0"/>
        </w:rPr>
        <w:t xml:space="preserve">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Micro Panel </w:t>
      </w:r>
    </w:p>
    <w:p w:rsidP="00000000" w:rsidRPr="00000000" w:rsidR="00000000" w:rsidDel="00000000" w:rsidRDefault="00000000">
      <w:pPr>
        <w:numPr>
          <w:ilvl w:val="2"/>
          <w:numId w:val="2"/>
        </w:numPr>
        <w:ind w:left="1080" w:hanging="359"/>
        <w:contextualSpacing w:val="1"/>
        <w:rPr/>
      </w:pPr>
      <w:r w:rsidRPr="00000000" w:rsidR="00000000" w:rsidDel="00000000">
        <w:rPr>
          <w:color w:val="00b0f0"/>
          <w:rtl w:val="0"/>
        </w:rPr>
        <w:t xml:space="preserve">Face profile to be selected from below</w:t>
      </w:r>
      <w:r w:rsidRPr="00000000" w:rsidR="00000000" w:rsidDel="00000000">
        <w:rPr>
          <w:rtl w:val="0"/>
        </w:rPr>
        <w:t xml:space="preserve">:</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Standard options: 2/2/0.5 and 3/3/0.5</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Where the first two numbers describe the distance between holes vertically and horizontally and the third number describes the diameter of the perforation.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M-hole perforation –  standard perforation of MDF panel (single diameter through MDF)</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Reflective – No perforations through MDF. This option can be either with face “blind” holes for similar aesthetic, or with no holes at all. This option will have no acoustical absorption properties.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within panel – (e.g. slip, book, pleasing, random,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between panels / Sequencing – as required by architect (may result in higher cost), if none specified a random matching will be applied with colors mixed for the most consistent appearance possible.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Maple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or White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w:t>
      </w:r>
      <w:r w:rsidRPr="00000000" w:rsidR="00000000" w:rsidDel="00000000">
        <w:rPr>
          <w:color w:val="00b0f0"/>
          <w:rtl w:val="0"/>
        </w:rPr>
        <w:t xml:space="preserve">xx” width (xx mm), or as shown on drawings, </w:t>
      </w:r>
      <w:r w:rsidRPr="00000000" w:rsidR="00000000" w:rsidDel="00000000">
        <w:rPr>
          <w:rtl w:val="0"/>
        </w:rPr>
        <w:t xml:space="preserve">consult factory for maximum sizes for core boards, maximum dimension in either direction is 1280 mm (50.39”)</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Unfinished edges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Edgebanding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Spline joint, including spline member, between panels on all sides</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Tongue and groove joint in direction with panel veneer grain</w:t>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color w:val="00b0f0"/>
          <w:rtl w:val="0"/>
        </w:rPr>
        <w:t xml:space="preserve">Border:</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Perforations on panel face stop short of panel edge by </w:t>
      </w:r>
      <w:r w:rsidRPr="00000000" w:rsidR="00000000" w:rsidDel="00000000">
        <w:rPr>
          <w:color w:val="00b0f0"/>
          <w:rtl w:val="0"/>
        </w:rPr>
        <w:t xml:space="preserve">xx” (xx mm)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Backing</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Black, nonwoven glass fiber matt (60 g/m2 density) shall be adhered to rear of panel for any absorptive panel</w:t>
      </w:r>
    </w:p>
    <w:p w:rsidP="00000000" w:rsidRPr="00000000" w:rsidR="00000000" w:rsidDel="00000000" w:rsidRDefault="00000000">
      <w:pPr>
        <w:numPr>
          <w:ilvl w:val="3"/>
          <w:numId w:val="2"/>
        </w:numPr>
        <w:ind w:left="1296" w:hanging="215"/>
        <w:contextualSpacing w:val="1"/>
        <w:rPr>
          <w:color w:val="00b0f0"/>
        </w:rPr>
      </w:pPr>
      <w:r w:rsidRPr="00000000" w:rsidR="00000000" w:rsidDel="00000000">
        <w:rPr>
          <w:color w:val="00b0f0"/>
          <w:rtl w:val="0"/>
        </w:rPr>
        <w:t xml:space="preserve">Rear balance options</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Perforated CPL layer on back of panel to act as balance for panel construction</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Relief grooves on rear of panel to act as balance for panel construction - this selection will require mounting hardware to brace entire rear of panel (z-bar instead of z-clip) or stiffening blocking or hardware be applied to panel.</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 panel</w:t>
      </w:r>
      <w:r w:rsidRPr="00000000" w:rsidR="00000000" w:rsidDel="00000000">
        <w:rPr>
          <w:rFonts w:cs="Calibri" w:hAnsi="Calibri" w:eastAsia="Calibri" w:ascii="Calibri"/>
          <w:b w:val="0"/>
          <w:sz w:val="22"/>
          <w:rtl w:val="0"/>
        </w:rPr>
        <w:t xml:space="preserve">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rFonts w:cs="Calibri" w:hAnsi="Calibri" w:eastAsia="Calibri" w:ascii="Calibri"/>
          <w:b w:val="0"/>
          <w:color w:val="00b0f0"/>
          <w:sz w:val="22"/>
          <w:rtl w:val="0"/>
        </w:rPr>
        <w:t xml:space="preserve">Cutout</w:t>
      </w:r>
      <w:r w:rsidRPr="00000000" w:rsidR="00000000" w:rsidDel="00000000">
        <w:rPr>
          <w:color w:val="00b0f0"/>
          <w:rtl w:val="0"/>
        </w:rPr>
        <w:t xml:space="preserve"> options for panels: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If required cutouts can be factory completed with unfinished edges and microperforations not held back</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Cutouts factory completed with perforations held back from edge of cutout</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Cutouts factory completed with full finished edges at cut</w:t>
      </w:r>
    </w:p>
    <w:p w:rsidP="00000000" w:rsidRPr="00000000" w:rsidR="00000000" w:rsidDel="00000000" w:rsidRDefault="00000000">
      <w:pPr>
        <w:numPr>
          <w:ilvl w:val="1"/>
          <w:numId w:val="2"/>
        </w:numPr>
        <w:spacing w:lineRule="auto" w:after="160" w:line="259" w:before="0"/>
        <w:ind w:left="504" w:hanging="503"/>
        <w:contextualSpacing w:val="1"/>
        <w:rPr>
          <w:color w:val="00b0f0"/>
        </w:rPr>
      </w:pPr>
      <w:r w:rsidRPr="00000000" w:rsidR="00000000" w:rsidDel="00000000">
        <w:rPr>
          <w:color w:val="00b0f0"/>
          <w:rtl w:val="0"/>
        </w:rPr>
        <w:t xml:space="preserve">Installation Options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EPM Hardware for removable mount, z-profile metal piece screwed to rear of panel in field, wood batten with custom rabbet to accept metal piece provided to be attached to substrate.</w:t>
      </w:r>
    </w:p>
    <w:p w:rsidP="00000000" w:rsidRPr="00000000" w:rsidR="00000000" w:rsidDel="00000000" w:rsidRDefault="00000000">
      <w:pPr>
        <w:numPr>
          <w:ilvl w:val="2"/>
          <w:numId w:val="2"/>
        </w:numPr>
        <w:spacing w:lineRule="auto" w:after="160" w:line="259" w:before="0"/>
        <w:ind w:left="1080" w:hanging="359"/>
        <w:contextualSpacing w:val="1"/>
        <w:rPr>
          <w:u w:val="none"/>
        </w:rPr>
      </w:pPr>
      <w:r w:rsidRPr="00000000" w:rsidR="00000000" w:rsidDel="00000000">
        <w:rPr>
          <w:rtl w:val="0"/>
        </w:rPr>
        <w:t xml:space="preserve">Z-clip or Z-bar installation, clips supplied by installer</w:t>
      </w:r>
    </w:p>
    <w:p w:rsidP="00000000" w:rsidRPr="00000000" w:rsidR="00000000" w:rsidDel="00000000" w:rsidRDefault="00000000">
      <w:pPr>
        <w:numPr>
          <w:ilvl w:val="2"/>
          <w:numId w:val="2"/>
        </w:numPr>
        <w:spacing w:lineRule="auto" w:after="160" w:line="259" w:before="0"/>
        <w:ind w:left="1080" w:hanging="359"/>
        <w:contextualSpacing w:val="1"/>
        <w:rPr>
          <w:u w:val="none"/>
        </w:rPr>
      </w:pPr>
      <w:r w:rsidRPr="00000000" w:rsidR="00000000" w:rsidDel="00000000">
        <w:rPr>
          <w:rtl w:val="0"/>
        </w:rPr>
        <w:t xml:space="preserve">Direct Mount installation</w:t>
      </w:r>
    </w:p>
    <w:p w:rsidP="00000000" w:rsidRPr="00000000" w:rsidR="00000000" w:rsidDel="00000000" w:rsidRDefault="00000000">
      <w:pPr>
        <w:numPr>
          <w:ilvl w:val="2"/>
          <w:numId w:val="2"/>
        </w:numPr>
        <w:spacing w:lineRule="auto" w:after="160" w:line="259" w:before="0"/>
        <w:ind w:left="1080" w:hanging="359"/>
        <w:contextualSpacing w:val="1"/>
        <w:rPr>
          <w:u w:val="none"/>
        </w:rPr>
      </w:pPr>
      <w:r w:rsidRPr="00000000" w:rsidR="00000000" w:rsidDel="00000000">
        <w:rPr>
          <w:rtl w:val="0"/>
        </w:rPr>
        <w:t xml:space="preserve">For all options above please indicate if blind holes are required and where</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rear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must be installed such that all joints allow for the material to expand and contract with temperature and humidity changes. Failure to follow this guideline will result in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w:t>
      </w:r>
      <w:r w:rsidRPr="00000000" w:rsidR="00000000" w:rsidDel="00000000">
        <w:rPr>
          <w:rtl w:val="0"/>
        </w:rPr>
        <w:t xml:space="preserve">panel </w:t>
      </w:r>
      <w:r w:rsidRPr="00000000" w:rsidR="00000000" w:rsidDel="00000000">
        <w:rPr>
          <w:rFonts w:cs="Calibri" w:hAnsi="Calibri" w:eastAsia="Calibri" w:ascii="Calibri"/>
          <w:b w:val="0"/>
          <w:sz w:val="22"/>
          <w:rtl w:val="0"/>
        </w:rPr>
        <w:t xml:space="preserve">system with general contractor and site superintendents. Contractor shall not use wood p</w:t>
      </w:r>
      <w:r w:rsidRPr="00000000" w:rsidR="00000000" w:rsidDel="00000000">
        <w:rPr>
          <w:rtl w:val="0"/>
        </w:rPr>
        <w:t xml:space="preserve">anel</w:t>
      </w:r>
      <w:r w:rsidRPr="00000000" w:rsidR="00000000" w:rsidDel="00000000">
        <w:rPr>
          <w:rFonts w:cs="Calibri" w:hAnsi="Calibri" w:eastAsia="Calibri" w:ascii="Calibri"/>
          <w:b w:val="0"/>
          <w:sz w:val="22"/>
          <w:rtl w:val="0"/>
        </w:rPr>
        <w:t xml:space="preserve">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